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275"/>
        <w:gridCol w:w="8093"/>
      </w:tblGrid>
      <w:tr>
        <w:tc>
          <w:tcPr>
            <w:tcW w:type="dxa" w:w="5443"/>
            <w:tcMar>
              <w:top w:w="0" w:type="dxa"/>
              <w:start w:w="0" w:type="dxa"/>
              <w:bottom w:w="0" w:type="dxa"/>
              <w:end w:w="110" w:type="dxa"/>
            </w:tcMar>
            <w:vAlign w:val="center"/>
          </w:tcPr>
          <w:tbl>
            <w:tblPr>
              <w:tblW w:type="auto" w:w="0"/>
              <w:jc w:val="center"/>
              <w:tblLayout w:type="fixed"/>
              <w:tblLook w:firstColumn="1" w:firstRow="1" w:lastColumn="0" w:lastRow="0" w:noHBand="0" w:noVBand="1" w:val="04A0"/>
            </w:tblPr>
            <w:tblGrid>
              <w:gridCol w:w="1984"/>
            </w:tblGrid>
            <w:tr>
              <w:trPr>
                <w:trHeight w:val="2551" w:hRule="exact"/>
              </w:trPr>
              <w:tc>
                <w:tcPr>
                  <w:tcW w:type="dxa" w:w="5443"/>
                  <w:tcBorders>
                    <w:top w:val="single" w:sz="10" w:color="2D6A8A"/>
                    <w:left w:val="single" w:sz="10" w:color="2D6A8A"/>
                    <w:bottom w:val="single" w:sz="10" w:color="2D6A8A"/>
                    <w:right w:val="single" w:sz="10" w:color="2D6A8A"/>
                  </w:tcBorders>
                  <w:shd w:fill="EAF2F6"/>
                  <w:tcMar>
                    <w:top w:w="80" w:type="dxa"/>
                    <w:start w:w="80" w:type="dxa"/>
                    <w:bottom w:w="80" w:type="dxa"/>
                    <w:end w:w="80" w:type="dxa"/>
                  </w:tcMar>
                  <w:vAlign w:val="center"/>
                </w:tcPr>
                <w:p>
                  <w:pPr>
                    <w:keepNext w:val="0"/>
                    <w:widowControl/>
                    <w:spacing w:before="0" w:after="0" w:line="240" w:lineRule="auto"/>
                    <w:jc w:val="center"/>
                  </w:pPr>
                  <w:r>
                    <w:rPr>
                      <w:rFonts w:ascii="Arial" w:hAnsi="Arial" w:eastAsia="Arial"/>
                      <w:b/>
                      <w:i w:val="0"/>
                      <w:color w:val="2D6A8A"/>
                      <w:sz w:val="16"/>
                    </w:rPr>
                    <w:t>PHOTO</w:t>
                    <w:br/>
                    <w:t>35 x 45 mm</w:t>
                  </w:r>
                </w:p>
              </w:tc>
            </w:tr>
          </w:tbl>
          <w:p/>
        </w:tc>
        <w:tc>
          <w:tcPr>
            <w:tcW w:type="dxa" w:w="5443"/>
            <w:tcMar>
              <w:top w:w="90" w:type="dxa"/>
              <w:start w:w="160" w:type="dxa"/>
              <w:bottom w:w="60" w:type="dxa"/>
              <w:end w:w="30" w:type="dxa"/>
            </w:tcMar>
            <w:shd w:fill="17324D"/>
            <w:vAlign w:val="center"/>
          </w:tcPr>
          <w:p>
            <w:pPr>
              <w:keepNext w:val="0"/>
              <w:widowControl/>
              <w:spacing w:before="0" w:after="40" w:line="240" w:lineRule="auto"/>
            </w:pPr>
            <w:r>
              <w:rPr>
                <w:rFonts w:ascii="Arial" w:hAnsi="Arial" w:eastAsia="Arial"/>
                <w:b/>
                <w:i w:val="0"/>
                <w:color w:val="FFFFFF"/>
                <w:sz w:val="44"/>
              </w:rPr>
              <w:t>ANTONS BĀRDIŅŠ</w:t>
            </w:r>
          </w:p>
          <w:p>
            <w:pPr>
              <w:keepNext w:val="0"/>
              <w:widowControl/>
              <w:spacing w:before="0" w:after="80" w:line="228" w:lineRule="auto"/>
            </w:pPr>
            <w:r>
              <w:rPr>
                <w:rFonts w:ascii="Arial" w:hAnsi="Arial" w:eastAsia="Arial"/>
                <w:b/>
                <w:i w:val="0"/>
                <w:color w:val="B9D7E5"/>
                <w:sz w:val="20"/>
              </w:rPr>
              <w:t>PUBLIC ADMINISTRATION AND HR OPERATIONS</w:t>
            </w:r>
          </w:p>
          <w:p>
            <w:pPr>
              <w:keepNext w:val="0"/>
              <w:widowControl/>
              <w:spacing w:before="0" w:after="0" w:line="240" w:lineRule="auto"/>
            </w:pPr>
            <w:r>
              <w:rPr>
                <w:rFonts w:ascii="Arial" w:hAnsi="Arial" w:eastAsia="Arial"/>
                <w:b w:val="0"/>
                <w:i w:val="0"/>
                <w:color w:val="FFFFFF"/>
                <w:sz w:val="16"/>
                <w:shd w:fill="FFF2CC"/>
              </w:rPr>
              <w:t>antons.bardins@outlook.com  |  [PHONE]  |  Riga, Latvia</w:t>
            </w:r>
          </w:p>
        </w:tc>
      </w:tr>
    </w:tbl>
    <w:p>
      <w:pPr>
        <w:keepNext w:val="0"/>
        <w:widowControl/>
        <w:spacing w:before="0" w:after="20" w:line="240" w:lineRule="auto"/>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2909"/>
        <w:gridCol w:w="7459"/>
      </w:tblGrid>
      <w:tr>
        <w:tc>
          <w:tcPr>
            <w:tcW w:type="dxa" w:w="5443"/>
            <w:shd w:fill="F2F5F7"/>
            <w:tcMar>
              <w:top w:w="70" w:type="dxa"/>
              <w:start w:w="130" w:type="dxa"/>
              <w:bottom w:w="60" w:type="dxa"/>
              <w:end w:w="130" w:type="dxa"/>
            </w:tcMar>
            <w:vAlign w:val="top"/>
          </w:tcPr>
          <w:p>
            <w:pPr>
              <w:keepNext/>
              <w:widowControl/>
              <w:spacing w:before="0" w:after="50" w:line="240" w:lineRule="auto"/>
              <w:pBdr>
                <w:bottom w:val="single" w:sz="7" w:space="2" w:color="D7DEE3"/>
              </w:pBdr>
            </w:pPr>
            <w:r>
              <w:rPr>
                <w:rFonts w:ascii="Arial" w:hAnsi="Arial" w:eastAsia="Arial"/>
                <w:b/>
                <w:i w:val="0"/>
                <w:color w:val="2D6A8A"/>
                <w:sz w:val="18"/>
              </w:rPr>
              <w:t>CONTACT</w:t>
            </w:r>
          </w:p>
          <w:p>
            <w:pPr>
              <w:keepNext w:val="0"/>
              <w:widowControl/>
              <w:spacing w:before="0" w:after="30" w:line="240" w:lineRule="auto"/>
            </w:pPr>
            <w:r>
              <w:rPr>
                <w:rFonts w:ascii="Arial" w:hAnsi="Arial" w:eastAsia="Arial"/>
                <w:b w:val="0"/>
                <w:i w:val="0"/>
                <w:color w:val="20272D"/>
                <w:sz w:val="15"/>
              </w:rPr>
              <w:t>antons.bardins@outlook.com</w:t>
            </w:r>
          </w:p>
          <w:p>
            <w:pPr>
              <w:keepNext w:val="0"/>
              <w:widowControl/>
              <w:spacing w:before="0" w:after="30" w:line="240" w:lineRule="auto"/>
            </w:pPr>
            <w:r>
              <w:rPr>
                <w:rFonts w:ascii="Arial" w:hAnsi="Arial" w:eastAsia="Arial"/>
                <w:b w:val="0"/>
                <w:i w:val="0"/>
                <w:color w:val="20272D"/>
                <w:sz w:val="15"/>
                <w:shd w:fill="FFF2CC"/>
              </w:rPr>
              <w:t>[PHONE]</w:t>
            </w:r>
          </w:p>
          <w:p>
            <w:pPr>
              <w:keepNext w:val="0"/>
              <w:widowControl/>
              <w:spacing w:before="0" w:after="30" w:line="240" w:lineRule="auto"/>
            </w:pPr>
            <w:r>
              <w:rPr>
                <w:rFonts w:ascii="Arial" w:hAnsi="Arial" w:eastAsia="Arial"/>
                <w:b w:val="0"/>
                <w:i w:val="0"/>
                <w:color w:val="20272D"/>
                <w:sz w:val="15"/>
              </w:rPr>
              <w:t>Riga, Latvia</w:t>
            </w:r>
          </w:p>
          <w:p>
            <w:pPr>
              <w:keepNext w:val="0"/>
              <w:widowControl/>
              <w:spacing w:before="0" w:after="30" w:line="240" w:lineRule="auto"/>
            </w:pPr>
            <w:r>
              <w:rPr>
                <w:rFonts w:ascii="Arial" w:hAnsi="Arial" w:eastAsia="Arial"/>
                <w:b/>
                <w:i w:val="0"/>
                <w:color w:val="2D6A8A"/>
                <w:sz w:val="15"/>
              </w:rPr>
              <w:t>alirex.app</w:t>
            </w:r>
          </w:p>
          <w:p>
            <w:pPr>
              <w:keepNext/>
              <w:widowControl/>
              <w:spacing w:before="80" w:after="50" w:line="240" w:lineRule="auto"/>
              <w:pBdr>
                <w:bottom w:val="single" w:sz="7" w:space="2" w:color="D7DEE3"/>
              </w:pBdr>
            </w:pPr>
            <w:r>
              <w:rPr>
                <w:rFonts w:ascii="Arial" w:hAnsi="Arial" w:eastAsia="Arial"/>
                <w:b/>
                <w:i w:val="0"/>
                <w:color w:val="2D6A8A"/>
                <w:sz w:val="18"/>
              </w:rPr>
              <w:t>CORE COMPETENCIES</w:t>
            </w:r>
          </w:p>
          <w:p>
            <w:pPr>
              <w:keepNext w:val="0"/>
              <w:widowControl/>
              <w:spacing w:before="0" w:after="24" w:line="228" w:lineRule="auto"/>
              <w:ind w:left="57" w:hanging="57"/>
            </w:pPr>
            <w:r>
              <w:rPr>
                <w:rFonts w:ascii="Arial" w:hAnsi="Arial" w:eastAsia="Arial"/>
                <w:b w:val="0"/>
                <w:i w:val="0"/>
                <w:color w:val="20272D"/>
                <w:sz w:val="16"/>
              </w:rPr>
              <w:t>- Document and records administration</w:t>
            </w:r>
          </w:p>
          <w:p>
            <w:pPr>
              <w:keepNext w:val="0"/>
              <w:widowControl/>
              <w:spacing w:before="0" w:after="24" w:line="228" w:lineRule="auto"/>
              <w:ind w:left="57" w:hanging="57"/>
            </w:pPr>
            <w:r>
              <w:rPr>
                <w:rFonts w:ascii="Arial" w:hAnsi="Arial" w:eastAsia="Arial"/>
                <w:b w:val="0"/>
                <w:i w:val="0"/>
                <w:color w:val="20272D"/>
                <w:sz w:val="16"/>
              </w:rPr>
              <w:t>- Data accuracy and register maintenance</w:t>
            </w:r>
          </w:p>
          <w:p>
            <w:pPr>
              <w:keepNext w:val="0"/>
              <w:widowControl/>
              <w:spacing w:before="0" w:after="24" w:line="228" w:lineRule="auto"/>
              <w:ind w:left="57" w:hanging="57"/>
            </w:pPr>
            <w:r>
              <w:rPr>
                <w:rFonts w:ascii="Arial" w:hAnsi="Arial" w:eastAsia="Arial"/>
                <w:b w:val="0"/>
                <w:i w:val="0"/>
                <w:color w:val="20272D"/>
                <w:sz w:val="16"/>
              </w:rPr>
              <w:t>- Deadline and workflow coordination</w:t>
            </w:r>
          </w:p>
          <w:p>
            <w:pPr>
              <w:keepNext w:val="0"/>
              <w:widowControl/>
              <w:spacing w:before="0" w:after="24" w:line="228" w:lineRule="auto"/>
              <w:ind w:left="57" w:hanging="57"/>
            </w:pPr>
            <w:r>
              <w:rPr>
                <w:rFonts w:ascii="Arial" w:hAnsi="Arial" w:eastAsia="Arial"/>
                <w:b w:val="0"/>
                <w:i w:val="0"/>
                <w:color w:val="20272D"/>
                <w:sz w:val="16"/>
              </w:rPr>
              <w:t>- Business correspondence</w:t>
            </w:r>
          </w:p>
          <w:p>
            <w:pPr>
              <w:keepNext w:val="0"/>
              <w:widowControl/>
              <w:spacing w:before="0" w:after="24" w:line="228" w:lineRule="auto"/>
              <w:ind w:left="57" w:hanging="57"/>
            </w:pPr>
            <w:r>
              <w:rPr>
                <w:rFonts w:ascii="Arial" w:hAnsi="Arial" w:eastAsia="Arial"/>
                <w:b w:val="0"/>
                <w:i w:val="0"/>
                <w:color w:val="20272D"/>
                <w:sz w:val="16"/>
              </w:rPr>
              <w:t>- Confidential financial information</w:t>
            </w:r>
          </w:p>
          <w:p>
            <w:pPr>
              <w:keepNext w:val="0"/>
              <w:widowControl/>
              <w:spacing w:before="0" w:after="24" w:line="228" w:lineRule="auto"/>
              <w:ind w:left="57" w:hanging="57"/>
            </w:pPr>
            <w:r>
              <w:rPr>
                <w:rFonts w:ascii="Arial" w:hAnsi="Arial" w:eastAsia="Arial"/>
                <w:b w:val="0"/>
                <w:i w:val="0"/>
                <w:color w:val="20272D"/>
                <w:sz w:val="16"/>
              </w:rPr>
              <w:t>- Stakeholder communication</w:t>
            </w:r>
          </w:p>
          <w:p>
            <w:pPr>
              <w:keepNext/>
              <w:widowControl/>
              <w:spacing w:before="80" w:after="50" w:line="240" w:lineRule="auto"/>
              <w:pBdr>
                <w:bottom w:val="single" w:sz="7" w:space="2" w:color="D7DEE3"/>
              </w:pBdr>
            </w:pPr>
            <w:r>
              <w:rPr>
                <w:rFonts w:ascii="Arial" w:hAnsi="Arial" w:eastAsia="Arial"/>
                <w:b/>
                <w:i w:val="0"/>
                <w:color w:val="2D6A8A"/>
                <w:sz w:val="18"/>
              </w:rPr>
              <w:t>SYSTEMS</w:t>
            </w:r>
          </w:p>
          <w:p>
            <w:pPr>
              <w:keepNext w:val="0"/>
              <w:widowControl/>
              <w:spacing w:before="0" w:after="24" w:line="228" w:lineRule="auto"/>
              <w:ind w:left="57" w:hanging="57"/>
            </w:pPr>
            <w:r>
              <w:rPr>
                <w:rFonts w:ascii="Arial" w:hAnsi="Arial" w:eastAsia="Arial"/>
                <w:b w:val="0"/>
                <w:i w:val="0"/>
                <w:color w:val="20272D"/>
                <w:sz w:val="16"/>
              </w:rPr>
              <w:t>- MS Excel, Word and Office</w:t>
            </w:r>
          </w:p>
          <w:p>
            <w:pPr>
              <w:keepNext w:val="0"/>
              <w:widowControl/>
              <w:spacing w:before="0" w:after="24" w:line="228" w:lineRule="auto"/>
              <w:ind w:left="57" w:hanging="57"/>
            </w:pPr>
            <w:r>
              <w:rPr>
                <w:rFonts w:ascii="Arial" w:hAnsi="Arial" w:eastAsia="Arial"/>
                <w:b w:val="0"/>
                <w:i w:val="0"/>
                <w:color w:val="20272D"/>
                <w:sz w:val="16"/>
              </w:rPr>
              <w:t>- SAP and Hansa ERP</w:t>
            </w:r>
          </w:p>
          <w:p>
            <w:pPr>
              <w:keepNext w:val="0"/>
              <w:widowControl/>
              <w:spacing w:before="0" w:after="24" w:line="228" w:lineRule="auto"/>
              <w:ind w:left="57" w:hanging="57"/>
            </w:pPr>
            <w:r>
              <w:rPr>
                <w:rFonts w:ascii="Arial" w:hAnsi="Arial" w:eastAsia="Arial"/>
                <w:b w:val="0"/>
                <w:i w:val="0"/>
                <w:color w:val="20272D"/>
                <w:sz w:val="16"/>
              </w:rPr>
              <w:t>- Custom Windows ERP systems</w:t>
            </w:r>
          </w:p>
          <w:p>
            <w:pPr>
              <w:keepNext w:val="0"/>
              <w:widowControl/>
              <w:spacing w:before="0" w:after="24" w:line="228" w:lineRule="auto"/>
              <w:ind w:left="57" w:hanging="57"/>
            </w:pPr>
            <w:r>
              <w:rPr>
                <w:rFonts w:ascii="Arial" w:hAnsi="Arial" w:eastAsia="Arial"/>
                <w:b w:val="0"/>
                <w:i w:val="0"/>
                <w:color w:val="20272D"/>
                <w:sz w:val="16"/>
              </w:rPr>
              <w:t>- Alirex.app and AI tools</w:t>
            </w:r>
          </w:p>
          <w:p>
            <w:pPr>
              <w:keepNext/>
              <w:widowControl/>
              <w:spacing w:before="80" w:after="50" w:line="240" w:lineRule="auto"/>
              <w:pBdr>
                <w:bottom w:val="single" w:sz="7" w:space="2" w:color="D7DEE3"/>
              </w:pBdr>
            </w:pPr>
            <w:r>
              <w:rPr>
                <w:rFonts w:ascii="Arial" w:hAnsi="Arial" w:eastAsia="Arial"/>
                <w:b/>
                <w:i w:val="0"/>
                <w:color w:val="2D6A8A"/>
                <w:sz w:val="18"/>
              </w:rPr>
              <w:t>LANGUAGES</w:t>
            </w:r>
          </w:p>
          <w:p>
            <w:pPr>
              <w:keepNext w:val="0"/>
              <w:widowControl/>
              <w:spacing w:before="0" w:after="22" w:line="228" w:lineRule="auto"/>
            </w:pPr>
            <w:r>
              <w:rPr>
                <w:rFonts w:ascii="Arial" w:hAnsi="Arial" w:eastAsia="Arial"/>
                <w:b w:val="0"/>
                <w:i w:val="0"/>
                <w:color w:val="20272D"/>
                <w:sz w:val="15"/>
              </w:rPr>
              <w:t>Latvian - professional</w:t>
            </w:r>
          </w:p>
          <w:p>
            <w:pPr>
              <w:keepNext w:val="0"/>
              <w:widowControl/>
              <w:spacing w:before="0" w:after="22" w:line="228" w:lineRule="auto"/>
            </w:pPr>
            <w:r>
              <w:rPr>
                <w:rFonts w:ascii="Arial" w:hAnsi="Arial" w:eastAsia="Arial"/>
                <w:b w:val="0"/>
                <w:i w:val="0"/>
                <w:color w:val="20272D"/>
                <w:sz w:val="15"/>
              </w:rPr>
              <w:t>English - professional working proficiency; degree taught in English</w:t>
            </w:r>
          </w:p>
          <w:p>
            <w:pPr>
              <w:keepNext w:val="0"/>
              <w:widowControl/>
              <w:spacing w:before="0" w:after="22" w:line="228" w:lineRule="auto"/>
            </w:pPr>
            <w:r>
              <w:rPr>
                <w:rFonts w:ascii="Arial" w:hAnsi="Arial" w:eastAsia="Arial"/>
                <w:b w:val="0"/>
                <w:i w:val="0"/>
                <w:color w:val="20272D"/>
                <w:sz w:val="15"/>
              </w:rPr>
              <w:t>French - academic foundation</w:t>
            </w:r>
          </w:p>
          <w:p>
            <w:pPr>
              <w:keepNext/>
              <w:widowControl/>
              <w:spacing w:before="80" w:after="50" w:line="240" w:lineRule="auto"/>
              <w:pBdr>
                <w:bottom w:val="single" w:sz="7" w:space="2" w:color="D7DEE3"/>
              </w:pBdr>
            </w:pPr>
            <w:r>
              <w:rPr>
                <w:rFonts w:ascii="Arial" w:hAnsi="Arial" w:eastAsia="Arial"/>
                <w:b/>
                <w:i w:val="0"/>
                <w:color w:val="2D6A8A"/>
                <w:sz w:val="18"/>
              </w:rPr>
              <w:t>WORK STYLE</w:t>
            </w:r>
          </w:p>
          <w:p>
            <w:pPr>
              <w:keepNext w:val="0"/>
              <w:widowControl/>
              <w:spacing w:before="0" w:after="22" w:line="228" w:lineRule="auto"/>
            </w:pPr>
            <w:r>
              <w:rPr>
                <w:rFonts w:ascii="Arial" w:hAnsi="Arial" w:eastAsia="Arial"/>
                <w:b w:val="0"/>
                <w:i w:val="0"/>
                <w:color w:val="20272D"/>
                <w:sz w:val="15"/>
              </w:rPr>
              <w:t>Independent and collaborative</w:t>
            </w:r>
          </w:p>
          <w:p>
            <w:pPr>
              <w:keepNext w:val="0"/>
              <w:widowControl/>
              <w:spacing w:before="0" w:after="22" w:line="228" w:lineRule="auto"/>
            </w:pPr>
            <w:r>
              <w:rPr>
                <w:rFonts w:ascii="Arial" w:hAnsi="Arial" w:eastAsia="Arial"/>
                <w:b w:val="0"/>
                <w:i w:val="0"/>
                <w:color w:val="20272D"/>
                <w:sz w:val="15"/>
              </w:rPr>
              <w:t>Structured and deadline-focused</w:t>
            </w:r>
          </w:p>
          <w:p>
            <w:pPr>
              <w:keepNext w:val="0"/>
              <w:widowControl/>
              <w:spacing w:before="0" w:after="22" w:line="228" w:lineRule="auto"/>
            </w:pPr>
            <w:r>
              <w:rPr>
                <w:rFonts w:ascii="Arial" w:hAnsi="Arial" w:eastAsia="Arial"/>
                <w:b w:val="0"/>
                <w:i w:val="0"/>
                <w:color w:val="20272D"/>
                <w:sz w:val="15"/>
              </w:rPr>
              <w:t>Fast learner across systems</w:t>
            </w:r>
          </w:p>
          <w:p>
            <w:pPr>
              <w:keepNext w:val="0"/>
              <w:widowControl/>
              <w:spacing w:before="0" w:after="22" w:line="228" w:lineRule="auto"/>
            </w:pPr>
            <w:r>
              <w:rPr>
                <w:rFonts w:ascii="Arial" w:hAnsi="Arial" w:eastAsia="Arial"/>
                <w:b w:val="0"/>
                <w:i w:val="0"/>
                <w:color w:val="20272D"/>
                <w:sz w:val="15"/>
              </w:rPr>
              <w:t>10 years of team hockey</w:t>
            </w:r>
          </w:p>
        </w:tc>
        <w:tc>
          <w:tcPr>
            <w:tcW w:type="dxa" w:w="5443"/>
            <w:tcMar>
              <w:top w:w="30" w:type="dxa"/>
              <w:start w:w="190" w:type="dxa"/>
              <w:bottom w:w="30" w:type="dxa"/>
              <w:end w:w="50" w:type="dxa"/>
            </w:tcMar>
            <w:vAlign w:val="top"/>
          </w:tcPr>
          <w:p>
            <w:pPr>
              <w:keepNext/>
              <w:widowControl/>
              <w:spacing w:before="0" w:after="50" w:line="240" w:lineRule="auto"/>
              <w:pBdr>
                <w:bottom w:val="single" w:sz="7" w:space="2" w:color="D7DEE3"/>
              </w:pBdr>
            </w:pPr>
            <w:r>
              <w:rPr>
                <w:rFonts w:ascii="Arial" w:hAnsi="Arial" w:eastAsia="Arial"/>
                <w:b/>
                <w:i w:val="0"/>
                <w:color w:val="2D6A8A"/>
                <w:sz w:val="20"/>
              </w:rPr>
              <w:t>PROFILE</w:t>
            </w:r>
          </w:p>
          <w:p>
            <w:pPr>
              <w:keepNext w:val="0"/>
              <w:widowControl/>
              <w:spacing w:before="0" w:after="28" w:line="240" w:lineRule="auto"/>
            </w:pPr>
            <w:r>
              <w:rPr>
                <w:rFonts w:ascii="Arial" w:hAnsi="Arial" w:eastAsia="Arial"/>
                <w:b w:val="0"/>
                <w:i w:val="0"/>
                <w:color w:val="20272D"/>
                <w:sz w:val="17"/>
              </w:rPr>
              <w:t>Economics graduate with broad experience in administration, accounting, records, customer and supplier coordination, and business systems. Built Alirex.app and worked across accounting consultancy, outsourced administration and wholesale operations. Accurate, discreet and comfortable managing deadlines, documents and multiple stakeholders.</w:t>
            </w:r>
          </w:p>
          <w:p>
            <w:pPr>
              <w:keepNext/>
              <w:widowControl/>
              <w:spacing w:before="60" w:after="50" w:line="240" w:lineRule="auto"/>
              <w:pBdr>
                <w:bottom w:val="single" w:sz="7" w:space="2" w:color="D7DEE3"/>
              </w:pBdr>
            </w:pPr>
            <w:r>
              <w:rPr>
                <w:rFonts w:ascii="Arial" w:hAnsi="Arial" w:eastAsia="Arial"/>
                <w:b/>
                <w:i w:val="0"/>
                <w:color w:val="2D6A8A"/>
                <w:sz w:val="20"/>
              </w:rPr>
              <w:t>SELECTED EXPERIENCE</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Founder and Product Builder</w:t>
                  </w:r>
                  <w:r>
                    <w:rPr>
                      <w:rFonts w:ascii="Arial" w:hAnsi="Arial" w:eastAsia="Arial"/>
                      <w:b/>
                      <w:i w:val="0"/>
                      <w:color w:val="20272D"/>
                      <w:sz w:val="17"/>
                    </w:rPr>
                    <w:t xml:space="preserve"> | Alirex.app</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[YYYY-PRESENT]</w:t>
                  </w:r>
                </w:p>
              </w:tc>
            </w:tr>
          </w:tbl>
          <w:p/>
          <w:p>
            <w:pPr>
              <w:keepNext w:val="0"/>
              <w:widowControl/>
              <w:spacing w:before="0" w:after="26" w:line="226" w:lineRule="auto"/>
              <w:ind w:left="181" w:hanging="142"/>
            </w:pPr>
            <w:r>
              <w:rPr>
                <w:rFonts w:ascii="Arial" w:hAnsi="Arial" w:eastAsia="Arial"/>
                <w:b w:val="0"/>
                <w:i w:val="0"/>
                <w:color w:val="20272D"/>
                <w:sz w:val="16"/>
              </w:rPr>
              <w:t>- Designed structured workflows, registers, document processing and audit trails for an ERP and accounting platform.</w:t>
            </w:r>
          </w:p>
          <w:p>
            <w:pPr>
              <w:keepNext w:val="0"/>
              <w:widowControl/>
              <w:spacing w:before="0" w:after="26" w:line="226" w:lineRule="auto"/>
              <w:ind w:left="181" w:hanging="142"/>
            </w:pPr>
            <w:r>
              <w:rPr>
                <w:rFonts w:ascii="Arial" w:hAnsi="Arial" w:eastAsia="Arial"/>
                <w:b w:val="0"/>
                <w:i w:val="0"/>
                <w:color w:val="20272D"/>
                <w:sz w:val="16"/>
              </w:rPr>
              <w:t>- Translated regulatory and business requirements into clear processes, controls, user documentation and system tests.</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Accountant</w:t>
                  </w:r>
                  <w:r>
                    <w:rPr>
                      <w:rFonts w:ascii="Arial" w:hAnsi="Arial" w:eastAsia="Arial"/>
                      <w:b/>
                      <w:i w:val="0"/>
                      <w:color w:val="20272D"/>
                      <w:sz w:val="17"/>
                    </w:rPr>
                    <w:t xml:space="preserve"> | CBB Consultancy Bureau</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[YYYY-YYYY] - 2 years</w:t>
                  </w:r>
                </w:p>
              </w:tc>
            </w:tr>
          </w:tbl>
          <w:p/>
          <w:p>
            <w:pPr>
              <w:keepNext w:val="0"/>
              <w:widowControl/>
              <w:spacing w:before="0" w:after="26" w:line="226" w:lineRule="auto"/>
              <w:ind w:left="181" w:hanging="142"/>
            </w:pPr>
            <w:r>
              <w:rPr>
                <w:rFonts w:ascii="Arial" w:hAnsi="Arial" w:eastAsia="Arial"/>
                <w:b w:val="0"/>
                <w:i w:val="0"/>
                <w:color w:val="20272D"/>
                <w:sz w:val="16"/>
              </w:rPr>
              <w:t>- Processed client accounting information, reconciliations and reports for companies operating at multimillion-euro scale.</w:t>
            </w:r>
          </w:p>
          <w:p>
            <w:pPr>
              <w:keepNext w:val="0"/>
              <w:widowControl/>
              <w:spacing w:before="0" w:after="26" w:line="226" w:lineRule="auto"/>
              <w:ind w:left="181" w:hanging="142"/>
            </w:pPr>
            <w:r>
              <w:rPr>
                <w:rFonts w:ascii="Arial" w:hAnsi="Arial" w:eastAsia="Arial"/>
                <w:b w:val="0"/>
                <w:i w:val="0"/>
                <w:color w:val="20272D"/>
                <w:sz w:val="16"/>
              </w:rPr>
              <w:t>- Managed detailed records and deadlines across SAP, Hansa and custom ERP environments while handling confidential information.</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Founder - Outsourced Administration</w:t>
                  </w:r>
                  <w:r>
                    <w:rPr>
                      <w:rFonts w:ascii="Arial" w:hAnsi="Arial" w:eastAsia="Arial"/>
                      <w:b/>
                      <w:i w:val="0"/>
                      <w:color w:val="20272D"/>
                      <w:sz w:val="17"/>
                    </w:rPr>
                    <w:t xml:space="preserve"> | SIA Alirex</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[YYYY-YYYY] - 1+ year</w:t>
                  </w:r>
                </w:p>
              </w:tc>
            </w:tr>
          </w:tbl>
          <w:p/>
          <w:p>
            <w:pPr>
              <w:keepNext w:val="0"/>
              <w:widowControl/>
              <w:spacing w:before="0" w:after="26" w:line="226" w:lineRule="auto"/>
              <w:ind w:left="181" w:hanging="142"/>
            </w:pPr>
            <w:r>
              <w:rPr>
                <w:rFonts w:ascii="Arial" w:hAnsi="Arial" w:eastAsia="Arial"/>
                <w:b w:val="0"/>
                <w:i w:val="0"/>
                <w:color w:val="20272D"/>
                <w:sz w:val="16"/>
              </w:rPr>
              <w:t>- Provided secretarial, bookkeeping and coordination services, including a long-term assignment for KGES Group.</w:t>
            </w:r>
          </w:p>
          <w:p>
            <w:pPr>
              <w:keepNext w:val="0"/>
              <w:widowControl/>
              <w:spacing w:before="0" w:after="26" w:line="226" w:lineRule="auto"/>
              <w:ind w:left="181" w:hanging="142"/>
            </w:pPr>
            <w:r>
              <w:rPr>
                <w:rFonts w:ascii="Arial" w:hAnsi="Arial" w:eastAsia="Arial"/>
                <w:b w:val="0"/>
                <w:i w:val="0"/>
                <w:color w:val="20272D"/>
                <w:sz w:val="16"/>
              </w:rPr>
              <w:t>- Organised business documentation, communications, schedules and deal-related administrative follow-up.</w:t>
            </w:r>
          </w:p>
          <w:tbl>
            <w:tblPr>
              <w:tblW w:type="auto" w:w="0"/>
              <w:jc w:val="left"/>
              <w:tblLayout w:type="fixed"/>
              <w:tblLook w:firstColumn="1" w:firstRow="1" w:lastColumn="0" w:lastRow="0" w:noHBand="0" w:noVBand="1" w:val="04A0"/>
              <w:tblBorders>
                <w:top w:val="nil"/>
                <w:left w:val="nil"/>
                <w:bottom w:val="nil"/>
                <w:right w:val="nil"/>
                <w:insideH w:val="nil"/>
                <w:insideV w:val="nil"/>
              </w:tblBorders>
            </w:tblPr>
            <w:tblGrid>
              <w:gridCol w:w="4968"/>
              <w:gridCol w:w="2088"/>
            </w:tblGrid>
            <w:tr>
              <w:tc>
                <w:tcPr>
                  <w:tcW w:type="dxa" w:w="2721"/>
                  <w:tcMar>
                    <w:top w:w="0" w:type="dxa"/>
                    <w:start w:w="0" w:type="dxa"/>
                    <w:bottom w:w="0" w:type="dxa"/>
                    <w:end w:w="0" w:type="dxa"/>
                  </w:tcMar>
                </w:tcPr>
                <w:p>
                  <w:pPr>
                    <w:keepNext/>
                    <w:widowControl/>
                    <w:spacing w:before="50" w:after="6" w:line="240" w:lineRule="auto"/>
                  </w:pPr>
                  <w:r>
                    <w:rPr>
                      <w:rFonts w:ascii="Arial" w:hAnsi="Arial" w:eastAsia="Arial"/>
                      <w:b/>
                      <w:i w:val="0"/>
                      <w:color w:val="17324D"/>
                      <w:sz w:val="17"/>
                    </w:rPr>
                    <w:t>Commercial Operations Specialist</w:t>
                  </w:r>
                  <w:r>
                    <w:rPr>
                      <w:rFonts w:ascii="Arial" w:hAnsi="Arial" w:eastAsia="Arial"/>
                      <w:b/>
                      <w:i w:val="0"/>
                      <w:color w:val="20272D"/>
                      <w:sz w:val="17"/>
                    </w:rPr>
                    <w:t xml:space="preserve"> | 5 Meters - aluminium profiles</w:t>
                  </w:r>
                </w:p>
              </w:tc>
              <w:tc>
                <w:tcPr>
                  <w:tcW w:type="dxa" w:w="2721"/>
                  <w:tcMar>
                    <w:top w:w="0" w:type="dxa"/>
                    <w:start w:w="0" w:type="dxa"/>
                    <w:bottom w:w="0" w:type="dxa"/>
                    <w:end w:w="0" w:type="dxa"/>
                  </w:tcMar>
                </w:tcPr>
                <w:p>
                  <w:pPr>
                    <w:keepNext/>
                    <w:widowControl/>
                    <w:spacing w:before="50" w:after="6" w:line="240" w:lineRule="auto"/>
                    <w:jc w:val="right"/>
                  </w:pPr>
                  <w:r>
                    <w:rPr>
                      <w:rFonts w:ascii="Arial" w:hAnsi="Arial" w:eastAsia="Arial"/>
                      <w:b w:val="0"/>
                      <w:i/>
                      <w:color w:val="66727D"/>
                      <w:sz w:val="14"/>
                      <w:shd w:fill="FFF2CC"/>
                    </w:rPr>
                    <w:t>[YYYY-YYYY]</w:t>
                  </w:r>
                </w:p>
              </w:tc>
            </w:tr>
          </w:tbl>
          <w:p/>
          <w:p>
            <w:pPr>
              <w:keepNext w:val="0"/>
              <w:widowControl/>
              <w:spacing w:before="0" w:after="26" w:line="226" w:lineRule="auto"/>
              <w:ind w:left="181" w:hanging="142"/>
            </w:pPr>
            <w:r>
              <w:rPr>
                <w:rFonts w:ascii="Arial" w:hAnsi="Arial" w:eastAsia="Arial"/>
                <w:b w:val="0"/>
                <w:i w:val="0"/>
                <w:color w:val="20272D"/>
                <w:sz w:val="16"/>
              </w:rPr>
              <w:t>- Maintained orders, internal registers, cash records and supporting documents while coordinating clients, suppliers and logistics.</w:t>
            </w:r>
          </w:p>
          <w:p>
            <w:pPr>
              <w:keepNext w:val="0"/>
              <w:widowControl/>
              <w:spacing w:before="0" w:after="26" w:line="226" w:lineRule="auto"/>
              <w:ind w:left="181" w:hanging="142"/>
            </w:pPr>
            <w:r>
              <w:rPr>
                <w:rFonts w:ascii="Arial" w:hAnsi="Arial" w:eastAsia="Arial"/>
                <w:b w:val="0"/>
                <w:i w:val="0"/>
                <w:color w:val="20272D"/>
                <w:sz w:val="16"/>
              </w:rPr>
              <w:t>- Handled retail, wholesale and special-project requests from initial enquiry through delivery and administrative closure.</w:t>
            </w:r>
          </w:p>
          <w:p>
            <w:pPr>
              <w:keepNext/>
              <w:widowControl/>
              <w:spacing w:before="60" w:after="50" w:line="240" w:lineRule="auto"/>
              <w:pBdr>
                <w:bottom w:val="single" w:sz="7" w:space="2" w:color="D7DEE3"/>
              </w:pBdr>
            </w:pPr>
            <w:r>
              <w:rPr>
                <w:rFonts w:ascii="Arial" w:hAnsi="Arial" w:eastAsia="Arial"/>
                <w:b/>
                <w:i w:val="0"/>
                <w:color w:val="2D6A8A"/>
                <w:sz w:val="20"/>
              </w:rPr>
              <w:t>EDUCATION</w:t>
            </w:r>
          </w:p>
          <w:p>
            <w:pPr>
              <w:keepNext/>
              <w:widowControl/>
              <w:spacing w:before="0" w:after="14" w:line="228" w:lineRule="auto"/>
            </w:pPr>
            <w:r>
              <w:rPr>
                <w:rFonts w:ascii="Arial" w:hAnsi="Arial" w:eastAsia="Arial"/>
                <w:b/>
                <w:i w:val="0"/>
                <w:color w:val="17324D"/>
                <w:sz w:val="17"/>
              </w:rPr>
              <w:t>Bachelor of Social Sciences in Economics</w:t>
            </w:r>
            <w:r>
              <w:rPr>
                <w:rFonts w:ascii="Arial" w:hAnsi="Arial" w:eastAsia="Arial"/>
                <w:b w:val="0"/>
                <w:i w:val="0"/>
                <w:color w:val="66727D"/>
                <w:sz w:val="16"/>
              </w:rPr>
              <w:t xml:space="preserve"> | University of Latvia | 2022-2026</w:t>
            </w:r>
          </w:p>
          <w:p>
            <w:pPr>
              <w:keepNext w:val="0"/>
              <w:widowControl/>
              <w:spacing w:before="0" w:after="22" w:line="228" w:lineRule="auto"/>
            </w:pPr>
            <w:r>
              <w:rPr>
                <w:rFonts w:ascii="Arial" w:hAnsi="Arial" w:eastAsia="Arial"/>
                <w:b w:val="0"/>
                <w:i w:val="0"/>
                <w:color w:val="20272D"/>
                <w:sz w:val="16"/>
              </w:rPr>
              <w:t>International Economics and Commercial Diplomacy - English-taught programme</w:t>
            </w:r>
          </w:p>
          <w:p>
            <w:pPr>
              <w:keepNext/>
              <w:widowControl/>
              <w:spacing w:before="40" w:after="50" w:line="240" w:lineRule="auto"/>
              <w:pBdr>
                <w:bottom w:val="single" w:sz="7" w:space="2" w:color="D7DEE3"/>
              </w:pBdr>
            </w:pPr>
            <w:r>
              <w:rPr>
                <w:rFonts w:ascii="Arial" w:hAnsi="Arial" w:eastAsia="Arial"/>
                <w:b/>
                <w:i w:val="0"/>
                <w:color w:val="2D6A8A"/>
                <w:sz w:val="20"/>
              </w:rPr>
              <w:t>RELEVANT COURSEWORK</w:t>
            </w:r>
          </w:p>
          <w:p>
            <w:pPr>
              <w:keepNext w:val="0"/>
              <w:widowControl/>
              <w:spacing w:before="0" w:after="22" w:line="228" w:lineRule="auto"/>
            </w:pPr>
            <w:r>
              <w:rPr>
                <w:rFonts w:ascii="Arial" w:hAnsi="Arial" w:eastAsia="Arial"/>
                <w:b w:val="0"/>
                <w:i w:val="0"/>
                <w:color w:val="20272D"/>
                <w:sz w:val="15"/>
              </w:rPr>
              <w:t>Records Management and Business Correspondence; Communication Psychology; Negotiation; Commercial Diplomacy; International Politics; Business English Correspondence</w:t>
            </w:r>
          </w:p>
          <w:p>
            <w:pPr>
              <w:keepNext/>
              <w:widowControl/>
              <w:spacing w:before="40" w:after="50" w:line="240" w:lineRule="auto"/>
              <w:pBdr>
                <w:bottom w:val="single" w:sz="7" w:space="2" w:color="D7DEE3"/>
              </w:pBdr>
            </w:pPr>
            <w:r>
              <w:rPr>
                <w:rFonts w:ascii="Arial" w:hAnsi="Arial" w:eastAsia="Arial"/>
                <w:b/>
                <w:i w:val="0"/>
                <w:color w:val="2D6A8A"/>
                <w:sz w:val="20"/>
              </w:rPr>
              <w:t>SELECTED EVIDENCE</w:t>
            </w:r>
          </w:p>
          <w:p>
            <w:pPr>
              <w:keepNext w:val="0"/>
              <w:widowControl/>
              <w:spacing w:before="0" w:after="26" w:line="226" w:lineRule="auto"/>
              <w:ind w:left="181" w:hanging="142"/>
            </w:pPr>
            <w:r>
              <w:rPr>
                <w:rFonts w:ascii="Arial" w:hAnsi="Arial" w:eastAsia="Arial"/>
                <w:b w:val="0"/>
                <w:i w:val="0"/>
                <w:color w:val="20272D"/>
                <w:sz w:val="16"/>
              </w:rPr>
              <w:t>- English-taught bachelor's programme completed alongside professional work.</w:t>
            </w:r>
          </w:p>
          <w:p>
            <w:pPr>
              <w:keepNext w:val="0"/>
              <w:widowControl/>
              <w:spacing w:before="0" w:after="26" w:line="226" w:lineRule="auto"/>
              <w:ind w:left="181" w:hanging="142"/>
            </w:pPr>
            <w:r>
              <w:rPr>
                <w:rFonts w:ascii="Arial" w:hAnsi="Arial" w:eastAsia="Arial"/>
                <w:b w:val="0"/>
                <w:i w:val="0"/>
                <w:color w:val="20272D"/>
                <w:sz w:val="16"/>
              </w:rPr>
              <w:t>- Started working at 14; developed reliability early and strengthened teamwork through 10 years of hockey.</w:t>
            </w:r>
          </w:p>
        </w:tc>
      </w:tr>
    </w:tbl>
    <w:sectPr w:rsidR="00FC693F" w:rsidRPr="0006063C" w:rsidSect="00034616">
      <w:footerReference w:type="default" r:id="rId9"/>
      <w:pgSz w:w="11906" w:h="16838"/>
      <w:pgMar w:top="482" w:right="510" w:bottom="425" w:left="510" w:header="142"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keepNext w:val="0"/>
      <w:widowControl/>
      <w:spacing w:before="0" w:after="0" w:line="240" w:lineRule="auto"/>
      <w:jc w:val="right"/>
    </w:pPr>
    <w:r>
      <w:rPr>
        <w:rFonts w:ascii="Arial" w:hAnsi="Arial" w:eastAsia="Arial"/>
        <w:b w:val="0"/>
        <w:i w:val="0"/>
        <w:color w:val="66727D"/>
        <w:sz w:val="13"/>
      </w:rPr>
      <w:t>Antons Bārdiņš | PUBLIC ADMINISTRATION AND HR OPERATIONS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line="240" w:lineRule="auto"/>
    </w:pPr>
    <w:rPr>
      <w:rFonts w:ascii="Arial" w:hAnsi="Arial" w:eastAsia="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Antons Bārdiņš - PUBLIC ADMINISTRATION AND HR OPERATIONS</dc:title>
  <dc:subject>Curriculum Vitae</dc:subject>
  <dc:creator>Antons Bārdiņš</dc:creator>
  <cp:keywords>CV, curriculum vitae, Antons Bārdiņš</cp:keywords>
  <dc:description>generated by python-docx</dc:description>
  <cp:lastModifiedBy/>
  <cp:revision>1</cp:revision>
  <dcterms:created xsi:type="dcterms:W3CDTF">2013-12-23T23:15:00Z</dcterms:created>
  <dcterms:modified xsi:type="dcterms:W3CDTF">2013-12-23T23:15:00Z</dcterms:modified>
  <cp:category/>
</cp:coreProperties>
</file>